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EDB" w:rsidRPr="000D2265" w:rsidRDefault="00013EDB" w:rsidP="00013EDB">
      <w:pPr>
        <w:tabs>
          <w:tab w:val="left" w:pos="7860"/>
        </w:tabs>
        <w:rPr>
          <w:rFonts w:cs="Times New Roman"/>
        </w:rPr>
      </w:pPr>
      <w:r w:rsidRPr="000D2265">
        <w:rPr>
          <w:rFonts w:cs="Times New Roman"/>
        </w:rPr>
        <w:t>Name.</w:t>
      </w:r>
      <w:bookmarkStart w:id="0" w:name="_GoBack"/>
      <w:bookmarkEnd w:id="0"/>
      <w:r>
        <w:rPr>
          <w:rFonts w:cs="Times New Roman"/>
        </w:rPr>
        <w:tab/>
      </w:r>
    </w:p>
    <w:p w:rsidR="00013EDB" w:rsidRPr="000D2265" w:rsidRDefault="00013EDB" w:rsidP="00013EDB">
      <w:pPr>
        <w:rPr>
          <w:rFonts w:cs="Times New Roman"/>
        </w:rPr>
      </w:pPr>
      <w:r w:rsidRPr="000D2265">
        <w:rPr>
          <w:rFonts w:cs="Times New Roman"/>
        </w:rPr>
        <w:t>Tutor.</w:t>
      </w:r>
    </w:p>
    <w:p w:rsidR="00013EDB" w:rsidRPr="000D2265" w:rsidRDefault="00013EDB" w:rsidP="00013EDB">
      <w:pPr>
        <w:rPr>
          <w:rFonts w:cs="Times New Roman"/>
        </w:rPr>
      </w:pPr>
      <w:r w:rsidRPr="000D2265">
        <w:rPr>
          <w:rFonts w:cs="Times New Roman"/>
        </w:rPr>
        <w:t>Course.</w:t>
      </w:r>
    </w:p>
    <w:p w:rsidR="00013EDB" w:rsidRDefault="00013EDB" w:rsidP="00013EDB">
      <w:r w:rsidRPr="000D2265">
        <w:rPr>
          <w:rFonts w:cs="Times New Roman"/>
        </w:rPr>
        <w:t>Date</w:t>
      </w:r>
      <w:r>
        <w:rPr>
          <w:rFonts w:cs="Times New Roman"/>
        </w:rPr>
        <w:t>.</w:t>
      </w:r>
    </w:p>
    <w:p w:rsidR="00AD23E6" w:rsidRDefault="00AD23E6" w:rsidP="00013EDB">
      <w:pPr>
        <w:jc w:val="center"/>
      </w:pPr>
      <w:r>
        <w:t>A Perfect Society</w:t>
      </w:r>
    </w:p>
    <w:p w:rsidR="00266243" w:rsidRPr="00CF2B6D" w:rsidRDefault="00E54731" w:rsidP="00496C1D">
      <w:pPr>
        <w:ind w:firstLine="720"/>
        <w:rPr>
          <w:u w:val="single"/>
        </w:rPr>
      </w:pPr>
      <w:r>
        <w:t>In any discourse between th</w:t>
      </w:r>
      <w:r w:rsidR="00CF2B6D">
        <w:t>e life in the community of the G</w:t>
      </w:r>
      <w:r>
        <w:t xml:space="preserve">iver and the life in the United States, the concept of the perfect society springs out. The U.S is an individualistic nation where every person has a completely different </w:t>
      </w:r>
      <w:r w:rsidR="00E566A4">
        <w:t>lifestyle as compared to those of other people</w:t>
      </w:r>
      <w:r>
        <w:t>. However, some people may share</w:t>
      </w:r>
      <w:r w:rsidR="004E6CAB">
        <w:t xml:space="preserve"> </w:t>
      </w:r>
      <w:r>
        <w:t>some similarities but this does not imply they are the same.</w:t>
      </w:r>
      <w:r w:rsidR="004E6CAB">
        <w:t xml:space="preserve"> As a result of diverse lifestyles, the aspect of uniqueness emerges. On the other hand, the life in the community of the giver reflects a utopia society where lives and experiences are more collective and hence no uniqueness</w:t>
      </w:r>
      <w:r w:rsidR="00496C1D">
        <w:t xml:space="preserve"> (Lowry, 1)</w:t>
      </w:r>
      <w:r w:rsidR="004E6CAB">
        <w:t xml:space="preserve">. </w:t>
      </w:r>
      <w:r w:rsidR="00CF2B6D" w:rsidRPr="00CF2B6D">
        <w:rPr>
          <w:u w:val="single"/>
        </w:rPr>
        <w:t>L</w:t>
      </w:r>
      <w:r w:rsidR="00FC42BF" w:rsidRPr="00CF2B6D">
        <w:rPr>
          <w:u w:val="single"/>
        </w:rPr>
        <w:t>ife in United States is good than life in the community of the giver because life in Un</w:t>
      </w:r>
      <w:r w:rsidR="00CF2B6D" w:rsidRPr="00CF2B6D">
        <w:rPr>
          <w:u w:val="single"/>
        </w:rPr>
        <w:t xml:space="preserve">ited States provides a wide array of </w:t>
      </w:r>
      <w:r w:rsidR="00FC42BF" w:rsidRPr="00CF2B6D">
        <w:rPr>
          <w:u w:val="single"/>
        </w:rPr>
        <w:t xml:space="preserve"> diversities</w:t>
      </w:r>
      <w:r w:rsidR="00CF2B6D" w:rsidRPr="00CF2B6D">
        <w:rPr>
          <w:u w:val="single"/>
        </w:rPr>
        <w:t xml:space="preserve"> and opportunities hence bringing the aspect of uniqueness but the same is not available in the community of the Giver.</w:t>
      </w:r>
    </w:p>
    <w:p w:rsidR="009E0DE6" w:rsidRDefault="009E0DE6" w:rsidP="00CF2B6D">
      <w:pPr>
        <w:ind w:firstLine="720"/>
      </w:pPr>
      <w:r>
        <w:t>I love the U.S society which is great in so many ways. The greatnes</w:t>
      </w:r>
      <w:r w:rsidR="00CF2B6D">
        <w:t>s originates</w:t>
      </w:r>
      <w:r w:rsidR="00E566A4">
        <w:t xml:space="preserve"> from the fact that U.S</w:t>
      </w:r>
      <w:r>
        <w:t xml:space="preserve"> is</w:t>
      </w:r>
      <w:r w:rsidR="00CF2B6D">
        <w:t xml:space="preserve"> an imperfect society and</w:t>
      </w:r>
      <w:r>
        <w:t xml:space="preserve"> </w:t>
      </w:r>
      <w:r w:rsidR="00E566A4">
        <w:t>this</w:t>
      </w:r>
      <w:r>
        <w:t xml:space="preserve"> imperfection is what makes U.S a beautiful</w:t>
      </w:r>
      <w:r w:rsidR="00E566A4">
        <w:t xml:space="preserve"> country.</w:t>
      </w:r>
      <w:r w:rsidR="00EC3CA3">
        <w:t xml:space="preserve"> I will compare three aspects of life between U.S life and life as portr</w:t>
      </w:r>
      <w:r w:rsidR="00CF2B6D">
        <w:t>ayed in Lois Lowry’s book “The G</w:t>
      </w:r>
      <w:r w:rsidR="00EC3CA3">
        <w:t>iver</w:t>
      </w:r>
      <w:r w:rsidR="00D46B78">
        <w:t>”</w:t>
      </w:r>
      <w:r w:rsidR="00EC3CA3">
        <w:t xml:space="preserve">. </w:t>
      </w:r>
      <w:r w:rsidR="00467FCA">
        <w:t xml:space="preserve">The first aspect is the use of language. Language is a crucial feature in our lives because it serves as a medium of communication. In the U.S, English is the main form of communication and has been so critical in my life. In the normal life, I use the language to make new friends, in my studies, to quarrel, to settle disputes, and during shopping. In the free use of </w:t>
      </w:r>
      <w:r w:rsidR="00467FCA">
        <w:lastRenderedPageBreak/>
        <w:t xml:space="preserve">language in the country, I have noted that language is unbiased and hence is blind to ethnic differences, demographics and socioeconomics. On the other hand, </w:t>
      </w:r>
      <w:r w:rsidR="00AA4BB0">
        <w:t>in the community of “The Giver”, people are forced to use a precise language to avoid any misconception or misunderstanding</w:t>
      </w:r>
      <w:r w:rsidR="00CF2B6D">
        <w:t xml:space="preserve"> (Lowry</w:t>
      </w:r>
      <w:r w:rsidR="00496C1D">
        <w:t xml:space="preserve"> 3)</w:t>
      </w:r>
      <w:r w:rsidR="00AA4BB0">
        <w:t>. However, some words used in the community are not precise and thus distort the correct meaning of such words. The aim of distorting the words is to promote concepts or rules that the top authority doe</w:t>
      </w:r>
      <w:r w:rsidR="00CF2B6D">
        <w:t>s not want the public to understand</w:t>
      </w:r>
      <w:r w:rsidR="00AA4BB0">
        <w:t>. For instance, according to “The Giver”, the word release means to be killed</w:t>
      </w:r>
      <w:r w:rsidR="00496C1D">
        <w:t xml:space="preserve"> (Lowry, 69)</w:t>
      </w:r>
      <w:r w:rsidR="00AA4BB0">
        <w:t xml:space="preserve">. The true meaning of release in relation to the use in the book is to discharge. Other words used wrongly in “The Giver” are </w:t>
      </w:r>
      <w:r w:rsidR="00CF2B6D">
        <w:t>‘stirrings “and</w:t>
      </w:r>
      <w:r w:rsidR="00D46B78">
        <w:t xml:space="preserve"> </w:t>
      </w:r>
      <w:r w:rsidR="00CF2B6D">
        <w:t>“</w:t>
      </w:r>
      <w:r w:rsidR="00D46B78">
        <w:t>assignment</w:t>
      </w:r>
      <w:r w:rsidR="00CF2B6D">
        <w:t>”</w:t>
      </w:r>
      <w:r w:rsidR="00D46B78">
        <w:t>. Therefore, in the U.S, there is freedom in the use of language as opposed to the community of “The Giver” which distorts the language to hi</w:t>
      </w:r>
      <w:r w:rsidR="00CF2B6D">
        <w:t xml:space="preserve">nder the people from discovering </w:t>
      </w:r>
      <w:r w:rsidR="00D46B78">
        <w:t>the truth.</w:t>
      </w:r>
    </w:p>
    <w:p w:rsidR="00D46B78" w:rsidRDefault="00380A04" w:rsidP="00013EDB">
      <w:pPr>
        <w:ind w:firstLine="720"/>
      </w:pPr>
      <w:r>
        <w:t>The second aspect is the use of drugs. In the U.S, the use of drugs is influenced by a variety of factors. Some of the factors that I have noticed are the following; cultural attitudes, personality</w:t>
      </w:r>
      <w:r w:rsidR="002D20A9">
        <w:t xml:space="preserve">, self-medication and </w:t>
      </w:r>
      <w:r>
        <w:t>social class</w:t>
      </w:r>
      <w:r w:rsidR="00CF2B6D">
        <w:t>. In my life as a student,</w:t>
      </w:r>
      <w:r w:rsidR="00891023">
        <w:t xml:space="preserve"> smoking and use of alcohol has been left as a choice to me. Usually, in the country, buying of alcohol is allowed for individuals of 21 years</w:t>
      </w:r>
      <w:r w:rsidR="00CF2B6D">
        <w:t xml:space="preserve"> (Gray</w:t>
      </w:r>
      <w:r w:rsidR="00496C1D">
        <w:t xml:space="preserve"> 69)</w:t>
      </w:r>
      <w:r w:rsidR="00891023">
        <w:t>. However, the minimum age for alcohol consumption is restricted to individuals of above 18 years. Personally, based on my religious background, I do not consume alcohol or tobacco; however, most of my peers indulge in alcohol and smoke tobacco during parties and free time. On the contrary, in “The Giver”, the choice of drugs</w:t>
      </w:r>
      <w:r w:rsidR="00CF2B6D">
        <w:t xml:space="preserve"> is not personal. In the book, t</w:t>
      </w:r>
      <w:r w:rsidR="00891023">
        <w:t xml:space="preserve">he Giver provides children with drugs to prevent them from the effect of an aspect </w:t>
      </w:r>
      <w:r w:rsidR="00A52E48">
        <w:t>referred</w:t>
      </w:r>
      <w:r w:rsidR="00891023">
        <w:t xml:space="preserve"> as </w:t>
      </w:r>
      <w:r w:rsidR="00A52E48">
        <w:t>“</w:t>
      </w:r>
      <w:r w:rsidR="00891023">
        <w:t>Sti</w:t>
      </w:r>
      <w:r w:rsidR="00A52E48">
        <w:t>rrings”</w:t>
      </w:r>
      <w:r w:rsidR="00CF2B6D">
        <w:t xml:space="preserve"> (Lowry </w:t>
      </w:r>
      <w:r w:rsidR="00496C1D">
        <w:t>85)</w:t>
      </w:r>
      <w:r w:rsidR="00CF2B6D">
        <w:t>. According to the book, “s</w:t>
      </w:r>
      <w:r w:rsidR="00A52E48">
        <w:t>tirrings</w:t>
      </w:r>
      <w:r w:rsidR="00CF2B6D">
        <w:t>”</w:t>
      </w:r>
      <w:r w:rsidR="00A52E48">
        <w:t xml:space="preserve"> refer to the emotions that d</w:t>
      </w:r>
      <w:r w:rsidR="00CF2B6D">
        <w:t>evelop when the children reach</w:t>
      </w:r>
      <w:r w:rsidR="00A52E48">
        <w:t xml:space="preserve"> adolescence. The rationa</w:t>
      </w:r>
      <w:r w:rsidR="00CF2B6D">
        <w:t xml:space="preserve">le of giving the drugs is to ensure that </w:t>
      </w:r>
      <w:r w:rsidR="00A52E48">
        <w:t xml:space="preserve">the children do not undergo any form of pain. Safe drug use is one of the core </w:t>
      </w:r>
      <w:r w:rsidR="00A52E48">
        <w:lastRenderedPageBreak/>
        <w:t xml:space="preserve">themes in the book. Therefore, in U.S, the choice of drug use is personal as opposed to “The Giver” where children are subjected to drugs in order to reduce any form of pain during puberty. </w:t>
      </w:r>
    </w:p>
    <w:p w:rsidR="00D46B78" w:rsidRDefault="00CF2B6D" w:rsidP="00013EDB">
      <w:pPr>
        <w:ind w:firstLine="720"/>
      </w:pPr>
      <w:r>
        <w:t>T</w:t>
      </w:r>
      <w:r w:rsidR="00A52E48">
        <w:t>he last concept of focus is human life and death. Personally, I was conceived and raised by my biological parents.</w:t>
      </w:r>
      <w:r w:rsidR="000346ED">
        <w:t xml:space="preserve"> Legally, all the parents in the nation make the choice of the number of children they require. However, based on personal reasons, most parents in </w:t>
      </w:r>
      <w:r w:rsidR="003E634C">
        <w:t>U.S prefer to have fewer children. According to my parents, they had two children, my brother and I, to ensure they</w:t>
      </w:r>
      <w:r w:rsidR="00442FC4">
        <w:t xml:space="preserve"> give</w:t>
      </w:r>
      <w:r w:rsidR="003E634C">
        <w:t xml:space="preserve"> us good life. </w:t>
      </w:r>
      <w:r w:rsidR="00442FC4">
        <w:t>In my society, death of one member is painful for the family members</w:t>
      </w:r>
      <w:r w:rsidR="00496C1D">
        <w:t xml:space="preserve"> (Elkin 265)</w:t>
      </w:r>
      <w:r w:rsidR="00442FC4">
        <w:t xml:space="preserve">. </w:t>
      </w:r>
      <w:r w:rsidR="003D40F0">
        <w:t xml:space="preserve">In fact, a certain period is set to give the family members enough time to mourn their loved ones. </w:t>
      </w:r>
      <w:r w:rsidR="003E634C">
        <w:t xml:space="preserve">On the contrary, in “The Giver” community, there are assigned mothers or surrogates who are </w:t>
      </w:r>
      <w:r w:rsidR="00442FC4">
        <w:t xml:space="preserve">mandated the role of </w:t>
      </w:r>
      <w:r w:rsidR="003E634C">
        <w:t>giv</w:t>
      </w:r>
      <w:r w:rsidR="00442FC4">
        <w:t>ing</w:t>
      </w:r>
      <w:r w:rsidR="003E634C">
        <w:t xml:space="preserve"> birth. The </w:t>
      </w:r>
      <w:r w:rsidR="00442FC4">
        <w:t>born</w:t>
      </w:r>
      <w:r w:rsidR="003E634C">
        <w:t xml:space="preserve"> children are then raised by specific nurturers and then offered to different mothers after they reach 1 year. The mothers raising the children are allowed to have on</w:t>
      </w:r>
      <w:r>
        <w:t>e or two kids. Excess children i</w:t>
      </w:r>
      <w:r w:rsidR="003E634C">
        <w:t>n “Giver” are “released” (killed)</w:t>
      </w:r>
      <w:r>
        <w:t xml:space="preserve"> (Lowry </w:t>
      </w:r>
      <w:r w:rsidR="00496C1D">
        <w:t>101)</w:t>
      </w:r>
      <w:r w:rsidR="003E634C">
        <w:t xml:space="preserve">. According to the set laws, only 50 children are allowed to be </w:t>
      </w:r>
      <w:r w:rsidR="00442FC4">
        <w:t>delivered</w:t>
      </w:r>
      <w:r w:rsidR="003E634C">
        <w:t xml:space="preserve"> per year</w:t>
      </w:r>
      <w:r w:rsidR="00442FC4">
        <w:t xml:space="preserve">. In the issue of death, “The Giver” ensures that there is no pain experienced in death. </w:t>
      </w:r>
      <w:r>
        <w:t xml:space="preserve">Ironically, </w:t>
      </w:r>
      <w:r w:rsidR="00442FC4">
        <w:t>the entire community sings in joy during “releasing” of excess people through legal injection. In “The Giver” community, excess people included the elderly people and the infants</w:t>
      </w:r>
      <w:r>
        <w:t xml:space="preserve"> (Lowry </w:t>
      </w:r>
      <w:r w:rsidR="00496C1D">
        <w:t>102)</w:t>
      </w:r>
      <w:r w:rsidR="00442FC4">
        <w:t>.</w:t>
      </w:r>
      <w:r w:rsidR="003D40F0">
        <w:t xml:space="preserve"> Therefore, in U.S society, the number of children is decided by the parents with enough reasons as opposed to “The Giver” community where there is a set limit for the number of the people in the society.</w:t>
      </w:r>
    </w:p>
    <w:p w:rsidR="003D40F0" w:rsidRDefault="003D40F0" w:rsidP="00013EDB">
      <w:pPr>
        <w:ind w:firstLine="720"/>
      </w:pPr>
      <w:r>
        <w:t xml:space="preserve">In conclusion, human independence is a critical element in every society. Considering the two </w:t>
      </w:r>
      <w:r w:rsidR="00CF2B6D">
        <w:t>societies: The U.S society and t</w:t>
      </w:r>
      <w:r>
        <w:t>he</w:t>
      </w:r>
      <w:r w:rsidR="00CF2B6D">
        <w:t xml:space="preserve"> “Giver society”, it is clear</w:t>
      </w:r>
      <w:r>
        <w:t xml:space="preserve"> that the life in U.S is better than life in “The Giver”. Despite the </w:t>
      </w:r>
      <w:r w:rsidR="00CF2B6D">
        <w:t>facts that in “The Giver” community all forms of pain are</w:t>
      </w:r>
      <w:r w:rsidR="00AD23E6">
        <w:t xml:space="preserve"> eliminated, the members have no independence of making their choices. On the other hand, in </w:t>
      </w:r>
      <w:r w:rsidR="00AD23E6">
        <w:lastRenderedPageBreak/>
        <w:t>the U.S, every individual is left to make his/her own choic</w:t>
      </w:r>
      <w:r w:rsidR="00CF2B6D">
        <w:t xml:space="preserve">es and thus supporting </w:t>
      </w:r>
      <w:r w:rsidR="00AD23E6">
        <w:t>diversities and consequently bringing uniqueness in</w:t>
      </w:r>
      <w:r w:rsidR="00CF2B6D">
        <w:t xml:space="preserve"> the U.S culture. Therefore, life in the United States </w:t>
      </w:r>
      <w:r w:rsidR="00AD23E6">
        <w:t>is good than the life in “The Giver” as it encourages diversity and thus bringing uniqueness.</w:t>
      </w:r>
    </w:p>
    <w:p w:rsidR="00496C1D" w:rsidRDefault="00496C1D" w:rsidP="00496C1D">
      <w:pPr>
        <w:jc w:val="center"/>
      </w:pPr>
    </w:p>
    <w:p w:rsidR="00496C1D" w:rsidRDefault="00496C1D" w:rsidP="00496C1D">
      <w:pPr>
        <w:jc w:val="center"/>
      </w:pPr>
    </w:p>
    <w:p w:rsidR="00496C1D" w:rsidRDefault="00496C1D" w:rsidP="00496C1D">
      <w:pPr>
        <w:jc w:val="center"/>
      </w:pPr>
    </w:p>
    <w:p w:rsidR="00496C1D" w:rsidRDefault="00496C1D" w:rsidP="00496C1D">
      <w:pPr>
        <w:jc w:val="center"/>
      </w:pPr>
    </w:p>
    <w:p w:rsidR="00496C1D" w:rsidRDefault="00496C1D" w:rsidP="00496C1D">
      <w:pPr>
        <w:jc w:val="center"/>
      </w:pPr>
    </w:p>
    <w:p w:rsidR="00496C1D" w:rsidRDefault="00496C1D" w:rsidP="00496C1D">
      <w:pPr>
        <w:jc w:val="center"/>
      </w:pPr>
    </w:p>
    <w:p w:rsidR="00496C1D" w:rsidRDefault="00496C1D" w:rsidP="00496C1D">
      <w:pPr>
        <w:jc w:val="center"/>
      </w:pPr>
    </w:p>
    <w:p w:rsidR="00496C1D" w:rsidRDefault="00496C1D" w:rsidP="00496C1D">
      <w:pPr>
        <w:jc w:val="center"/>
      </w:pPr>
    </w:p>
    <w:p w:rsidR="00496C1D" w:rsidRDefault="00496C1D" w:rsidP="00496C1D">
      <w:pPr>
        <w:jc w:val="center"/>
      </w:pPr>
    </w:p>
    <w:p w:rsidR="00496C1D" w:rsidRDefault="00496C1D" w:rsidP="00496C1D">
      <w:pPr>
        <w:jc w:val="center"/>
      </w:pPr>
    </w:p>
    <w:p w:rsidR="00496C1D" w:rsidRDefault="00496C1D" w:rsidP="00496C1D">
      <w:pPr>
        <w:jc w:val="center"/>
      </w:pPr>
    </w:p>
    <w:p w:rsidR="00496C1D" w:rsidRDefault="00496C1D" w:rsidP="00496C1D">
      <w:pPr>
        <w:jc w:val="center"/>
      </w:pPr>
    </w:p>
    <w:p w:rsidR="00496C1D" w:rsidRDefault="00496C1D" w:rsidP="00496C1D">
      <w:pPr>
        <w:jc w:val="center"/>
      </w:pPr>
    </w:p>
    <w:p w:rsidR="00496C1D" w:rsidRDefault="00496C1D" w:rsidP="00496C1D">
      <w:pPr>
        <w:jc w:val="center"/>
      </w:pPr>
    </w:p>
    <w:p w:rsidR="00CF2B6D" w:rsidRDefault="00CF2B6D" w:rsidP="00496C1D">
      <w:pPr>
        <w:jc w:val="center"/>
      </w:pPr>
    </w:p>
    <w:p w:rsidR="00496C1D" w:rsidRDefault="00496C1D" w:rsidP="00496C1D">
      <w:pPr>
        <w:jc w:val="center"/>
      </w:pPr>
      <w:r>
        <w:lastRenderedPageBreak/>
        <w:t>Works Cited</w:t>
      </w:r>
    </w:p>
    <w:p w:rsidR="00496C1D" w:rsidRDefault="00F11D8C" w:rsidP="00496C1D">
      <w:pPr>
        <w:pStyle w:val="Bibliography"/>
        <w:ind w:left="720" w:hanging="720"/>
        <w:rPr>
          <w:noProof/>
        </w:rPr>
      </w:pPr>
      <w:r>
        <w:fldChar w:fldCharType="begin"/>
      </w:r>
      <w:r w:rsidR="00496C1D">
        <w:instrText xml:space="preserve"> BIBLIOGRAPHY  \l 1033 </w:instrText>
      </w:r>
      <w:r>
        <w:fldChar w:fldCharType="separate"/>
      </w:r>
      <w:r w:rsidR="00496C1D">
        <w:rPr>
          <w:noProof/>
        </w:rPr>
        <w:t xml:space="preserve">Janet, Gray. "Interior States: Institutional Consciousness and the Inner Life of Democracy in the Antebellum United States." </w:t>
      </w:r>
      <w:r w:rsidR="00496C1D">
        <w:rPr>
          <w:i/>
          <w:iCs/>
          <w:noProof/>
        </w:rPr>
        <w:t>Emotion, Space and Society</w:t>
      </w:r>
      <w:r w:rsidR="00496C1D">
        <w:rPr>
          <w:noProof/>
        </w:rPr>
        <w:t xml:space="preserve"> (2011): 69-70.</w:t>
      </w:r>
    </w:p>
    <w:p w:rsidR="00496C1D" w:rsidRDefault="00496C1D" w:rsidP="00496C1D">
      <w:pPr>
        <w:pStyle w:val="Bibliography"/>
        <w:ind w:left="720" w:hanging="720"/>
        <w:rPr>
          <w:noProof/>
        </w:rPr>
      </w:pPr>
      <w:r>
        <w:rPr>
          <w:noProof/>
        </w:rPr>
        <w:t xml:space="preserve">Lois, Lowry. </w:t>
      </w:r>
      <w:r>
        <w:rPr>
          <w:i/>
          <w:iCs/>
          <w:noProof/>
        </w:rPr>
        <w:t>The Giver</w:t>
      </w:r>
      <w:r>
        <w:rPr>
          <w:noProof/>
        </w:rPr>
        <w:t>. Kansas City: Houghton Mifflin, 1993.</w:t>
      </w:r>
    </w:p>
    <w:p w:rsidR="00496C1D" w:rsidRDefault="00496C1D" w:rsidP="00496C1D">
      <w:pPr>
        <w:pStyle w:val="Bibliography"/>
        <w:ind w:left="720" w:hanging="720"/>
        <w:rPr>
          <w:noProof/>
        </w:rPr>
      </w:pPr>
      <w:r>
        <w:rPr>
          <w:noProof/>
        </w:rPr>
        <w:t xml:space="preserve">Stephen, Elkin. "The Good Society: A Retrospective." </w:t>
      </w:r>
      <w:r>
        <w:rPr>
          <w:i/>
          <w:iCs/>
          <w:noProof/>
        </w:rPr>
        <w:t>The Good Society</w:t>
      </w:r>
      <w:r>
        <w:rPr>
          <w:noProof/>
        </w:rPr>
        <w:t xml:space="preserve"> (2013): 264-268.</w:t>
      </w:r>
    </w:p>
    <w:p w:rsidR="00496C1D" w:rsidRDefault="00F11D8C" w:rsidP="00496C1D">
      <w:pPr>
        <w:ind w:hanging="720"/>
      </w:pPr>
      <w:r>
        <w:fldChar w:fldCharType="end"/>
      </w:r>
    </w:p>
    <w:sectPr w:rsidR="00496C1D" w:rsidSect="0026624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055B" w:rsidRDefault="00E8055B" w:rsidP="00AC02BA">
      <w:pPr>
        <w:spacing w:after="0" w:line="240" w:lineRule="auto"/>
      </w:pPr>
      <w:r>
        <w:separator/>
      </w:r>
    </w:p>
  </w:endnote>
  <w:endnote w:type="continuationSeparator" w:id="1">
    <w:p w:rsidR="00E8055B" w:rsidRDefault="00E8055B" w:rsidP="00AC02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055B" w:rsidRDefault="00E8055B" w:rsidP="00AC02BA">
      <w:pPr>
        <w:spacing w:after="0" w:line="240" w:lineRule="auto"/>
      </w:pPr>
      <w:r>
        <w:separator/>
      </w:r>
    </w:p>
  </w:footnote>
  <w:footnote w:type="continuationSeparator" w:id="1">
    <w:p w:rsidR="00E8055B" w:rsidRDefault="00E8055B" w:rsidP="00AC02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20876"/>
      <w:docPartObj>
        <w:docPartGallery w:val="Page Numbers (Top of Page)"/>
        <w:docPartUnique/>
      </w:docPartObj>
    </w:sdtPr>
    <w:sdtContent>
      <w:p w:rsidR="00013EDB" w:rsidRDefault="00013EDB">
        <w:pPr>
          <w:pStyle w:val="Header"/>
          <w:jc w:val="right"/>
        </w:pPr>
        <w:r>
          <w:t xml:space="preserve">Surname </w:t>
        </w:r>
        <w:fldSimple w:instr=" PAGE   \* MERGEFORMAT ">
          <w:r w:rsidR="009B10A4">
            <w:rPr>
              <w:noProof/>
            </w:rPr>
            <w:t>1</w:t>
          </w:r>
        </w:fldSimple>
      </w:p>
    </w:sdtContent>
  </w:sdt>
  <w:p w:rsidR="00013EDB" w:rsidRDefault="00013ED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C42BF"/>
    <w:rsid w:val="00013EDB"/>
    <w:rsid w:val="000346ED"/>
    <w:rsid w:val="001035A8"/>
    <w:rsid w:val="001A6AD8"/>
    <w:rsid w:val="00266243"/>
    <w:rsid w:val="002D20A9"/>
    <w:rsid w:val="003256FD"/>
    <w:rsid w:val="00380A04"/>
    <w:rsid w:val="003C25C1"/>
    <w:rsid w:val="003D40F0"/>
    <w:rsid w:val="003E634C"/>
    <w:rsid w:val="00442FC4"/>
    <w:rsid w:val="00467FCA"/>
    <w:rsid w:val="00496C1D"/>
    <w:rsid w:val="004E6CAB"/>
    <w:rsid w:val="007613A7"/>
    <w:rsid w:val="007954AD"/>
    <w:rsid w:val="00837A90"/>
    <w:rsid w:val="00891023"/>
    <w:rsid w:val="00994E35"/>
    <w:rsid w:val="009B10A4"/>
    <w:rsid w:val="009E0DE6"/>
    <w:rsid w:val="00A52E48"/>
    <w:rsid w:val="00AA4BB0"/>
    <w:rsid w:val="00AC02BA"/>
    <w:rsid w:val="00AD05A4"/>
    <w:rsid w:val="00AD23E6"/>
    <w:rsid w:val="00CF2B6D"/>
    <w:rsid w:val="00D46B78"/>
    <w:rsid w:val="00D651C4"/>
    <w:rsid w:val="00E54731"/>
    <w:rsid w:val="00E566A4"/>
    <w:rsid w:val="00E8055B"/>
    <w:rsid w:val="00EC3CA3"/>
    <w:rsid w:val="00F11D8C"/>
    <w:rsid w:val="00FC42BF"/>
    <w:rsid w:val="00FC5F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2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2BA"/>
  </w:style>
  <w:style w:type="paragraph" w:styleId="Footer">
    <w:name w:val="footer"/>
    <w:basedOn w:val="Normal"/>
    <w:link w:val="FooterChar"/>
    <w:uiPriority w:val="99"/>
    <w:semiHidden/>
    <w:unhideWhenUsed/>
    <w:rsid w:val="00AC02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02BA"/>
  </w:style>
  <w:style w:type="paragraph" w:styleId="Bibliography">
    <w:name w:val="Bibliography"/>
    <w:basedOn w:val="Normal"/>
    <w:next w:val="Normal"/>
    <w:uiPriority w:val="37"/>
    <w:unhideWhenUsed/>
    <w:rsid w:val="00496C1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Loi93</b:Tag>
    <b:SourceType>Book</b:SourceType>
    <b:Guid>{18452DD0-8961-4473-9AE0-2F30A07B0CEE}</b:Guid>
    <b:LCID>0</b:LCID>
    <b:Author>
      <b:Author>
        <b:NameList>
          <b:Person>
            <b:Last>Lois</b:Last>
            <b:First>Lowry.</b:First>
          </b:Person>
        </b:NameList>
      </b:Author>
    </b:Author>
    <b:Title>The Giver</b:Title>
    <b:Year>1993</b:Year>
    <b:City>Kansas City</b:City>
    <b:Publisher>Houghton Mifflin</b:Publisher>
    <b:RefOrder>1</b:RefOrder>
  </b:Source>
  <b:Source>
    <b:Tag>Jan11</b:Tag>
    <b:SourceType>JournalArticle</b:SourceType>
    <b:Guid>{59E219B6-CF1D-43E5-8822-ACAD76290B16}</b:Guid>
    <b:LCID>0</b:LCID>
    <b:Author>
      <b:Author>
        <b:NameList>
          <b:Person>
            <b:Last>Janet</b:Last>
            <b:First>Gray.</b:First>
          </b:Person>
        </b:NameList>
      </b:Author>
    </b:Author>
    <b:Title>Interior States: Institutional Consciousness and the Inner Life of Democracy in the Antebellum United States</b:Title>
    <b:Year>2011</b:Year>
    <b:JournalName>Emotion, Space and Society</b:JournalName>
    <b:Pages>69-70</b:Pages>
    <b:RefOrder>2</b:RefOrder>
  </b:Source>
  <b:Source>
    <b:Tag>Ste13</b:Tag>
    <b:SourceType>JournalArticle</b:SourceType>
    <b:Guid>{8B34EBE9-D749-4652-998A-C56338E2E1C0}</b:Guid>
    <b:LCID>0</b:LCID>
    <b:Author>
      <b:Author>
        <b:NameList>
          <b:Person>
            <b:Last>Stephen</b:Last>
            <b:First>Elkin.</b:First>
          </b:Person>
        </b:NameList>
      </b:Author>
    </b:Author>
    <b:Title>The Good Society: A Retrospective</b:Title>
    <b:JournalName>The Good Society</b:JournalName>
    <b:Year>2013</b:Year>
    <b:Pages>264-268</b:Pages>
    <b:RefOrder>3</b:RefOrder>
  </b:Source>
</b:Sources>
</file>

<file path=customXml/itemProps1.xml><?xml version="1.0" encoding="utf-8"?>
<ds:datastoreItem xmlns:ds="http://schemas.openxmlformats.org/officeDocument/2006/customXml" ds:itemID="{045749C9-CCB9-44DD-A79E-EFD5AC508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3</cp:revision>
  <dcterms:created xsi:type="dcterms:W3CDTF">2019-03-27T15:01:00Z</dcterms:created>
  <dcterms:modified xsi:type="dcterms:W3CDTF">2019-03-27T15:01:00Z</dcterms:modified>
</cp:coreProperties>
</file>